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Troy Barrington Lilly is Council President for the Town of Forest Heights. He is committed to working with disparate groups of people to solve community challenges. In Forest Heights, he serves as Chair of the Finance Advisory Committee, and is on the board of the Greater Oxon Hill Community Development Corporation.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As a local legislator, he has built strong relationships with municipalities and leaders in Prince George’s County and the Maryland General Assembly. He introduced legislation that formed a Youth and Community Development Bureau in Forest Heights as a collaboration with the County Council. He also helped author a bill in the Maryland House and Senate that addressed blighted commercial properties in his town and was ultimately passed into law. By partnering with local businesses and residents, he helped launch a financial education series to empower people across the National Capital Region.</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For more than a decade, he worked as a photographer and DoD contractor, covering engagements between senior US military officials and foreign dignitaries. Troy also supported nonprofit groups, working with the NAACP’s national ACT-SO youth division, and the Washington Association of Black Journalists, and small businesses, such as the Barteca Restaurant Group. His photographs have been featured in Times Square in New York City, on CNN.com, and archived in the Defense Visual Information Distribution Service (DVIDS). He currently works in product development for Accenture Federal Services’s National Security Portfolio.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Troy is a proud lifelong Democrat, and it is his pleasure to serve others and  deliver results for his community.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